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P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Pr="00CE400C" w:rsidRDefault="00CE400C" w:rsidP="00CE400C">
      <w:pPr>
        <w:pStyle w:val="NormalWeb"/>
        <w:spacing w:before="0" w:beforeAutospacing="0" w:after="0" w:afterAutospacing="0"/>
        <w:jc w:val="both"/>
        <w:rPr>
          <w:rFonts w:ascii="Arial" w:hAnsi="Arial" w:cs="Arial"/>
          <w:b/>
          <w:bCs/>
          <w:caps/>
          <w:color w:val="002F5D"/>
          <w:sz w:val="21"/>
          <w:szCs w:val="21"/>
        </w:rPr>
      </w:pPr>
      <w:r w:rsidRPr="00CE400C">
        <w:rPr>
          <w:rFonts w:ascii="Arial" w:hAnsi="Arial" w:cs="Arial"/>
          <w:b/>
          <w:bCs/>
          <w:caps/>
          <w:color w:val="002F5D"/>
          <w:sz w:val="21"/>
          <w:szCs w:val="21"/>
        </w:rPr>
        <w:t>Procedimiento Fiscal. Régimen de facilidades de pago temporario de hasta 120 cuotas para obligaciones corrientes vencidas hasta el 15/8/2019 - RESOLUCIÓN GENERAL (</w:t>
      </w:r>
      <w:proofErr w:type="spellStart"/>
      <w:r w:rsidRPr="00CE400C">
        <w:rPr>
          <w:rFonts w:ascii="Arial" w:hAnsi="Arial" w:cs="Arial"/>
          <w:b/>
          <w:bCs/>
          <w:caps/>
          <w:color w:val="002F5D"/>
          <w:sz w:val="21"/>
          <w:szCs w:val="21"/>
        </w:rPr>
        <w:t>Adm</w:t>
      </w:r>
      <w:proofErr w:type="spellEnd"/>
      <w:r w:rsidRPr="00CE400C">
        <w:rPr>
          <w:rFonts w:ascii="Arial" w:hAnsi="Arial" w:cs="Arial"/>
          <w:b/>
          <w:bCs/>
          <w:caps/>
          <w:color w:val="002F5D"/>
          <w:sz w:val="21"/>
          <w:szCs w:val="21"/>
        </w:rPr>
        <w:t>. Fed. Ingresos Públicos) 4557</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AFIP reglamenta el nuevo régimen de facilidades de pago temporario en el cual se podrán incluir deudas impositivas y previsionales vencidas hasta el 15/8/2019, con sus intereses y multas. La adhesión al presente plan se podrá realizar desde el 2/9/2019 hasta el 31/10/2019.</w:t>
      </w:r>
      <w:r w:rsidRPr="00CE400C">
        <w:rPr>
          <w:rFonts w:ascii="Arial" w:eastAsia="Times New Roman" w:hAnsi="Arial" w:cs="Arial"/>
          <w:b/>
          <w:bCs/>
          <w:color w:val="666666"/>
          <w:sz w:val="20"/>
          <w:szCs w:val="20"/>
        </w:rPr>
        <w:br/>
      </w:r>
      <w:r>
        <w:rPr>
          <w:rFonts w:ascii="Arial" w:eastAsia="Times New Roman" w:hAnsi="Arial" w:cs="Arial"/>
          <w:b/>
          <w:bCs/>
          <w:color w:val="666666"/>
          <w:sz w:val="20"/>
          <w:szCs w:val="20"/>
        </w:rPr>
        <w:t>L</w:t>
      </w:r>
      <w:r w:rsidRPr="00CE400C">
        <w:rPr>
          <w:rFonts w:ascii="Arial" w:eastAsia="Times New Roman" w:hAnsi="Arial" w:cs="Arial"/>
          <w:b/>
          <w:bCs/>
          <w:color w:val="666666"/>
          <w:sz w:val="20"/>
          <w:szCs w:val="20"/>
        </w:rPr>
        <w:t>os aspectos más salientes del nuevo régimen</w:t>
      </w:r>
      <w:r>
        <w:rPr>
          <w:rFonts w:ascii="Arial" w:eastAsia="Times New Roman" w:hAnsi="Arial" w:cs="Arial"/>
          <w:b/>
          <w:bCs/>
          <w:color w:val="666666"/>
          <w:sz w:val="20"/>
          <w:szCs w:val="20"/>
        </w:rPr>
        <w:t xml:space="preserve"> son</w:t>
      </w:r>
      <w:r w:rsidRPr="00CE400C">
        <w:rPr>
          <w:rFonts w:ascii="Arial" w:eastAsia="Times New Roman" w:hAnsi="Arial" w:cs="Arial"/>
          <w:b/>
          <w:bCs/>
          <w:color w:val="666666"/>
          <w:sz w:val="20"/>
          <w:szCs w:val="20"/>
        </w:rPr>
        <w:t xml:space="preserve">: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En el presente régimen también podrán incluirse deudas de monotributistas y autónomos, y se establecen condiciones especiales para las micro, pequeñas y medianas empresas.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Se podrán incluir deudas impositivas y de la seguridad social, retenciones y percepciones impositivas vencidas hasta el 15/8/2019, con sus intereses y multas. También se podrán incluir obligaciones de planes de facilidades de pago cuya caducidad haya operado durante el mes de julio de 2019 o hayan sido rechazados a partir del 1/7/2019.</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Entre otros, quedan excluidos los anticipos y/o pagos a cuenta, los intereses de las deudas de capital que no se incluyan en el presente plan, el IVA por prestaciones de servicios en el exterior, servicios digitales y prestaciones en el país de sujetos radicados en el exterior. Los aportes y contribuciones destinados al régimen de obras sociales, sin tener en cuenta los adheridos al monotributo, las cuotas a las ART, deudas de origen aduanero, las retenciones y percepciones con destino al régimen de seguridad social.</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Para acogerse a los planes de facilidades de pago se deberán tener las declaraciones juradas determinativas presentadas antes de la fecha de adhesión, poseer domicilio fiscal electrónico y tener declarada la CBU de la cuenta corriente o caja de ahorro de la que se debitarán los importes correspondientes para la cancelación de las cuotas.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Condiciones del plan: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Las deudas impositivas y previsionales de sujetos que no registren la condición de micro, pequeñas y medianas empresas ni sean asimilados a tales sujetos y las deudas incluidas en planes de facilidades de pago que hayan caducado durante el mes de julio de 2019 o hayan sido rechazados a partir del 1/7/2019 tendrán un pago a cuenta del 5%, 10% o 20%, según la deuda a regularizar, no pudiendo ser el mismo inferior a $ 1.000. Las </w:t>
      </w:r>
      <w:proofErr w:type="spellStart"/>
      <w:r w:rsidRPr="00CE400C">
        <w:rPr>
          <w:rFonts w:ascii="Arial" w:eastAsia="Times New Roman" w:hAnsi="Arial" w:cs="Arial"/>
          <w:b/>
          <w:bCs/>
          <w:color w:val="666666"/>
          <w:sz w:val="20"/>
          <w:szCs w:val="20"/>
        </w:rPr>
        <w:t>mipymes</w:t>
      </w:r>
      <w:proofErr w:type="spellEnd"/>
      <w:r w:rsidRPr="00CE400C">
        <w:rPr>
          <w:rFonts w:ascii="Arial" w:eastAsia="Times New Roman" w:hAnsi="Arial" w:cs="Arial"/>
          <w:b/>
          <w:bCs/>
          <w:color w:val="666666"/>
          <w:sz w:val="20"/>
          <w:szCs w:val="20"/>
        </w:rPr>
        <w:t>, los monotributistas y autónomos no se encuentran obligados a ingresar un pago a cuenta.</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La cantidad de cuotas máximas de los planes también variará según la categorización del contribuyente y el tipo de deuda a regularizar, como así también del pago a cuenta que se efectúe. En este caso, las micro, pequeñas y medianas empresas inscriptas en el Registro </w:t>
      </w:r>
      <w:proofErr w:type="spellStart"/>
      <w:r w:rsidRPr="00CE400C">
        <w:rPr>
          <w:rFonts w:ascii="Arial" w:eastAsia="Times New Roman" w:hAnsi="Arial" w:cs="Arial"/>
          <w:b/>
          <w:bCs/>
          <w:color w:val="666666"/>
          <w:sz w:val="20"/>
          <w:szCs w:val="20"/>
        </w:rPr>
        <w:t>MiPyMES</w:t>
      </w:r>
      <w:proofErr w:type="spellEnd"/>
      <w:r w:rsidRPr="00CE400C">
        <w:rPr>
          <w:rFonts w:ascii="Arial" w:eastAsia="Times New Roman" w:hAnsi="Arial" w:cs="Arial"/>
          <w:b/>
          <w:bCs/>
          <w:color w:val="666666"/>
          <w:sz w:val="20"/>
          <w:szCs w:val="20"/>
        </w:rPr>
        <w:t xml:space="preserve">, los monotributistas y autónomos podrán cancelar el plan en hasta 120 cuotas.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lastRenderedPageBreak/>
        <w:t>Mientras que las obligaciones de otros planes de pago que se refinancien por el presente y el resto de los contribuyentes podrán hacerlo en hasta 36 cuotas o en hasta 60 cuotas, respectivamente.</w:t>
      </w:r>
      <w:r w:rsidRPr="00CE400C">
        <w:rPr>
          <w:rFonts w:ascii="Arial" w:eastAsia="Times New Roman" w:hAnsi="Arial" w:cs="Arial"/>
          <w:b/>
          <w:bCs/>
          <w:color w:val="666666"/>
          <w:sz w:val="20"/>
          <w:szCs w:val="20"/>
        </w:rPr>
        <w:br/>
        <w:t>* Se prevé un tope de interés de financiamiento de hasta el 2,5% y la tasa será variable, que se actualizará por trimestre calendario.</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La primera cuota vencerá el día 16/12/2019 y el resto de las cuotas los subsiguientes días 16 de cada mes, y se cancelan a través del débito directo en cuenta bancaria.</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La adhesión se realizará como es habitual, a través del sistema “Mis Facilidades”, accediendo con clave fiscal.</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La caducidad se producirá con la falta de cancelación de 3 cuotas consecutivas o alternadas a los 60 días corridos posteriores a la fecha de vencimiento de la tercera de ellas, o por la falta de ingreso de la o las cuotas no canceladas a los 60 días contados desde la fecha de vencimiento de la última cuota del plan.</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Señalamos que los </w:t>
      </w:r>
      <w:r w:rsidRPr="00CE400C">
        <w:rPr>
          <w:rFonts w:ascii="Arial" w:eastAsia="Times New Roman" w:hAnsi="Arial" w:cs="Arial"/>
          <w:b/>
          <w:bCs/>
          <w:color w:val="666666"/>
          <w:sz w:val="20"/>
          <w:szCs w:val="20"/>
          <w:u w:val="single"/>
        </w:rPr>
        <w:t>planes de pago vigentes</w:t>
      </w:r>
      <w:r w:rsidRPr="00CE400C">
        <w:rPr>
          <w:rFonts w:ascii="Arial" w:eastAsia="Times New Roman" w:hAnsi="Arial" w:cs="Arial"/>
          <w:b/>
          <w:bCs/>
          <w:color w:val="666666"/>
          <w:sz w:val="20"/>
          <w:szCs w:val="20"/>
        </w:rPr>
        <w:t xml:space="preserve"> incluidos en el régimen de hasta 60 cuotas por deudas vencidas al 30/4/2019 -</w:t>
      </w:r>
      <w:r w:rsidRPr="00CE400C">
        <w:rPr>
          <w:rFonts w:ascii="Arial" w:eastAsia="Times New Roman" w:hAnsi="Arial" w:cs="Arial"/>
          <w:b/>
          <w:bCs/>
          <w:color w:val="666666"/>
          <w:sz w:val="20"/>
          <w:szCs w:val="20"/>
          <w:u w:val="single"/>
        </w:rPr>
        <w:t>RG (AFIP) 4477</w:t>
      </w:r>
      <w:r w:rsidRPr="00CE400C">
        <w:rPr>
          <w:rFonts w:ascii="Arial" w:eastAsia="Times New Roman" w:hAnsi="Arial" w:cs="Arial"/>
          <w:b/>
          <w:bCs/>
          <w:color w:val="666666"/>
          <w:sz w:val="20"/>
          <w:szCs w:val="20"/>
        </w:rPr>
        <w:t xml:space="preserve">- presentados hasta el 31/8/2019 podrán refinanciarse por el presente plan de pagos. En este orden, podrá solicitarse la refinanciación a partir del 17/9/2019 y hasta el 31/10/2019, </w:t>
      </w:r>
      <w:r w:rsidRPr="00CE400C">
        <w:rPr>
          <w:rFonts w:ascii="Arial" w:eastAsia="Times New Roman" w:hAnsi="Arial" w:cs="Arial"/>
          <w:b/>
          <w:bCs/>
          <w:color w:val="666666"/>
          <w:sz w:val="20"/>
          <w:szCs w:val="20"/>
          <w:u w:val="single"/>
        </w:rPr>
        <w:t>no exigiéndose pago a cuenta</w:t>
      </w:r>
      <w:r w:rsidRPr="00CE400C">
        <w:rPr>
          <w:rFonts w:ascii="Arial" w:eastAsia="Times New Roman" w:hAnsi="Arial" w:cs="Arial"/>
          <w:b/>
          <w:bCs/>
          <w:color w:val="666666"/>
          <w:sz w:val="20"/>
          <w:szCs w:val="20"/>
        </w:rPr>
        <w:t>, otorgándose hasta 120 cuotas y venciendo la primera de ellas el día 16 del mes inmediato siguiente de efectuada la refinanciación.</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Respecto de las medidas cautelares de las micro, pequeñas y medianas empresas inscriptas en el Registro de Empresas </w:t>
      </w:r>
      <w:proofErr w:type="spellStart"/>
      <w:r w:rsidRPr="00CE400C">
        <w:rPr>
          <w:rFonts w:ascii="Arial" w:eastAsia="Times New Roman" w:hAnsi="Arial" w:cs="Arial"/>
          <w:b/>
          <w:bCs/>
          <w:color w:val="666666"/>
          <w:sz w:val="20"/>
          <w:szCs w:val="20"/>
        </w:rPr>
        <w:t>MiPyMES</w:t>
      </w:r>
      <w:proofErr w:type="spellEnd"/>
      <w:r w:rsidRPr="00CE400C">
        <w:rPr>
          <w:rFonts w:ascii="Arial" w:eastAsia="Times New Roman" w:hAnsi="Arial" w:cs="Arial"/>
          <w:b/>
          <w:bCs/>
          <w:color w:val="666666"/>
          <w:sz w:val="20"/>
          <w:szCs w:val="20"/>
        </w:rPr>
        <w:t xml:space="preserve">, así como las de todos aquellos asimilados a tales sujetos, serán suspendidas hasta el 12/11/2019 (90 días corridos contados desde el 14/8/2019). En este sentido, señalamos que la AFIP llevará a cabo acciones para aquellos sujetos que, cumpliendo los parámetros para categorizarse como </w:t>
      </w:r>
      <w:proofErr w:type="spellStart"/>
      <w:r w:rsidRPr="00CE400C">
        <w:rPr>
          <w:rFonts w:ascii="Arial" w:eastAsia="Times New Roman" w:hAnsi="Arial" w:cs="Arial"/>
          <w:b/>
          <w:bCs/>
          <w:color w:val="666666"/>
          <w:sz w:val="20"/>
          <w:szCs w:val="20"/>
        </w:rPr>
        <w:t>mipyme</w:t>
      </w:r>
      <w:proofErr w:type="spellEnd"/>
      <w:r w:rsidRPr="00CE400C">
        <w:rPr>
          <w:rFonts w:ascii="Arial" w:eastAsia="Times New Roman" w:hAnsi="Arial" w:cs="Arial"/>
          <w:b/>
          <w:bCs/>
          <w:color w:val="666666"/>
          <w:sz w:val="20"/>
          <w:szCs w:val="20"/>
        </w:rPr>
        <w:t>, no lo hubieran hecho.</w:t>
      </w:r>
      <w:r w:rsidRPr="00CE400C">
        <w:rPr>
          <w:rFonts w:ascii="Arial" w:eastAsia="Times New Roman" w:hAnsi="Arial" w:cs="Arial"/>
          <w:b/>
          <w:bCs/>
          <w:color w:val="666666"/>
          <w:sz w:val="20"/>
          <w:szCs w:val="20"/>
        </w:rPr>
        <w:br/>
        <w:t xml:space="preserve">Destacamos que ha trascendido desde el Organismo que las obligaciones anuales del impuesto a las ganancias y sobre los bienes personales se financiarán por medio del </w:t>
      </w:r>
      <w:proofErr w:type="spellStart"/>
      <w:r w:rsidRPr="00CE400C">
        <w:rPr>
          <w:rFonts w:ascii="Arial" w:eastAsia="Times New Roman" w:hAnsi="Arial" w:cs="Arial"/>
          <w:b/>
          <w:bCs/>
          <w:color w:val="666666"/>
          <w:sz w:val="20"/>
          <w:szCs w:val="20"/>
        </w:rPr>
        <w:t>miniplan</w:t>
      </w:r>
      <w:proofErr w:type="spellEnd"/>
      <w:r w:rsidRPr="00CE400C">
        <w:rPr>
          <w:rFonts w:ascii="Arial" w:eastAsia="Times New Roman" w:hAnsi="Arial" w:cs="Arial"/>
          <w:b/>
          <w:bCs/>
          <w:color w:val="666666"/>
          <w:sz w:val="20"/>
          <w:szCs w:val="20"/>
        </w:rPr>
        <w:t>, el cual se reabrirá entre el 2/9/2019 y el 31/10/2019</w:t>
      </w:r>
    </w:p>
    <w:p w:rsidR="00CE400C" w:rsidRP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both"/>
        <w:rPr>
          <w:rFonts w:ascii="Arial" w:hAnsi="Arial" w:cs="Arial"/>
          <w:b/>
          <w:bCs/>
          <w:caps/>
          <w:color w:val="002F5D"/>
          <w:sz w:val="21"/>
          <w:szCs w:val="21"/>
        </w:rPr>
      </w:pPr>
      <w:r w:rsidRPr="00CE400C">
        <w:rPr>
          <w:rFonts w:ascii="Arial" w:hAnsi="Arial" w:cs="Arial"/>
          <w:b/>
          <w:bCs/>
          <w:caps/>
          <w:color w:val="002F5D"/>
          <w:sz w:val="21"/>
          <w:szCs w:val="21"/>
        </w:rPr>
        <w:t>Regímenes Especiales. Migraciones. Franquicias impositivas para automotores de extranjeros que obtengan la residencia permanente en el país y de argentinos que vuelvan al país. Datos a incorporar en el título de propiedad - RESOLUCIÓN GENERAL (</w:t>
      </w:r>
      <w:proofErr w:type="spellStart"/>
      <w:r w:rsidRPr="00CE400C">
        <w:rPr>
          <w:rFonts w:ascii="Arial" w:hAnsi="Arial" w:cs="Arial"/>
          <w:b/>
          <w:bCs/>
          <w:caps/>
          <w:color w:val="002F5D"/>
          <w:sz w:val="21"/>
          <w:szCs w:val="21"/>
        </w:rPr>
        <w:t>Adm</w:t>
      </w:r>
      <w:proofErr w:type="spellEnd"/>
      <w:r w:rsidRPr="00CE400C">
        <w:rPr>
          <w:rFonts w:ascii="Arial" w:hAnsi="Arial" w:cs="Arial"/>
          <w:b/>
          <w:bCs/>
          <w:caps/>
          <w:color w:val="002F5D"/>
          <w:sz w:val="21"/>
          <w:szCs w:val="21"/>
        </w:rPr>
        <w:t>. Fed. Ingresos Públicos) 4549</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Se establece que, al momento de inscribir en el Registro de la Propiedad Automotor vehículos con franquicia impositiva pertenecientes a extranjeros que obtengan la residencia permanente en el país y a argentinos que vuelvan al país, solo deberá </w:t>
      </w:r>
      <w:r w:rsidRPr="00CE400C">
        <w:rPr>
          <w:rFonts w:ascii="Arial" w:eastAsia="Times New Roman" w:hAnsi="Arial" w:cs="Arial"/>
          <w:b/>
          <w:bCs/>
          <w:color w:val="666666"/>
          <w:sz w:val="20"/>
          <w:szCs w:val="20"/>
        </w:rPr>
        <w:lastRenderedPageBreak/>
        <w:t>consignarse en el título de propiedad del automotor la expresión “El vehículo no puede ser transferido hasta el día/mes/año”.</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Recordamos que la ley 25871 y su reglamentación no permiten la enajenación de estos vehículos por un plazo de 2 años desde su introducción a plaza si no se cuenta con la autorización previa de la Dirección General de Aduanas</w:t>
      </w:r>
      <w:r>
        <w:rPr>
          <w:rFonts w:ascii="Arial" w:eastAsia="Times New Roman" w:hAnsi="Arial" w:cs="Arial"/>
          <w:b/>
          <w:bCs/>
          <w:color w:val="666666"/>
          <w:sz w:val="20"/>
          <w:szCs w:val="20"/>
        </w:rPr>
        <w:t>.</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both"/>
        <w:rPr>
          <w:rFonts w:ascii="Arial" w:hAnsi="Arial" w:cs="Arial"/>
          <w:b/>
          <w:bCs/>
          <w:caps/>
          <w:color w:val="002F5D"/>
          <w:sz w:val="21"/>
          <w:szCs w:val="21"/>
        </w:rPr>
      </w:pPr>
      <w:r w:rsidRPr="00CE400C">
        <w:rPr>
          <w:rFonts w:ascii="Arial" w:hAnsi="Arial" w:cs="Arial"/>
          <w:b/>
          <w:bCs/>
          <w:caps/>
          <w:color w:val="002F5D"/>
          <w:sz w:val="21"/>
          <w:szCs w:val="21"/>
        </w:rPr>
        <w:t>Procedimiento Fiscal. Se derogan determinados regímenes de información - RESOLUCIÓN GENERAL (</w:t>
      </w:r>
      <w:proofErr w:type="spellStart"/>
      <w:r w:rsidRPr="00CE400C">
        <w:rPr>
          <w:rFonts w:ascii="Arial" w:hAnsi="Arial" w:cs="Arial"/>
          <w:b/>
          <w:bCs/>
          <w:caps/>
          <w:color w:val="002F5D"/>
          <w:sz w:val="21"/>
          <w:szCs w:val="21"/>
        </w:rPr>
        <w:t>Adm</w:t>
      </w:r>
      <w:proofErr w:type="spellEnd"/>
      <w:r w:rsidRPr="00CE400C">
        <w:rPr>
          <w:rFonts w:ascii="Arial" w:hAnsi="Arial" w:cs="Arial"/>
          <w:b/>
          <w:bCs/>
          <w:caps/>
          <w:color w:val="002F5D"/>
          <w:sz w:val="21"/>
          <w:szCs w:val="21"/>
        </w:rPr>
        <w:t>. Fed. Ingresos Públicos) 4551</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Se derogan, a partir del 1/9/2019, determinados regímenes de información, según el siguiente detalle: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de transferencia de bienes muebles registrables para aeronaves -RG (AFIP) 2762-;</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de empresas promovidas -RG (AFIP) 3286-;</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de agrupaciones de colaboración, UTE y demás contratos asociativos no societarios -RG (AFIP) 3573-;</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del Sistema de control fiscal de estacionamiento para el cumplimiento de obligaciones fiscales de playas de estacionamiento, cocheras o garajes, e información respecto del ingreso y/o egreso de vehículos -RG (AFIP) 3654-;</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para productores y/u organizadores de espectáculos musicales respecto de los contratos celebrados con músicos extranjeros o agrupaciones musicales extranjeras -RG (AFIP) 3927-;</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Régimen de información de operaciones de compraventa de materiales a reciclar -RG (AFIP) 2849</w:t>
      </w:r>
      <w:r>
        <w:rPr>
          <w:rFonts w:ascii="Arial" w:eastAsia="Times New Roman" w:hAnsi="Arial" w:cs="Arial"/>
          <w:b/>
          <w:bCs/>
          <w:color w:val="666666"/>
          <w:sz w:val="20"/>
          <w:szCs w:val="20"/>
        </w:rPr>
        <w:t>.</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both"/>
        <w:rPr>
          <w:rFonts w:ascii="Arial" w:hAnsi="Arial" w:cs="Arial"/>
          <w:b/>
          <w:bCs/>
          <w:caps/>
          <w:color w:val="002F5D"/>
          <w:sz w:val="21"/>
          <w:szCs w:val="21"/>
        </w:rPr>
      </w:pPr>
      <w:r w:rsidRPr="00CE400C">
        <w:rPr>
          <w:rFonts w:ascii="Arial" w:hAnsi="Arial" w:cs="Arial"/>
          <w:b/>
          <w:bCs/>
          <w:caps/>
          <w:color w:val="002F5D"/>
          <w:sz w:val="21"/>
          <w:szCs w:val="21"/>
        </w:rPr>
        <w:t>Procedimiento Fiscal. Impuesto a las Ganancias. Regímenes de información por operaciones con automotores. Retenciones de ganancias para materiales a reciclar. Adecuación de importes a partir del 20 de agosto de 2019 - RESOLUCIÓN GENERAL (</w:t>
      </w:r>
      <w:proofErr w:type="spellStart"/>
      <w:r w:rsidRPr="00CE400C">
        <w:rPr>
          <w:rFonts w:ascii="Arial" w:hAnsi="Arial" w:cs="Arial"/>
          <w:b/>
          <w:bCs/>
          <w:caps/>
          <w:color w:val="002F5D"/>
          <w:sz w:val="21"/>
          <w:szCs w:val="21"/>
        </w:rPr>
        <w:t>Adm</w:t>
      </w:r>
      <w:proofErr w:type="spellEnd"/>
      <w:r w:rsidRPr="00CE400C">
        <w:rPr>
          <w:rFonts w:ascii="Arial" w:hAnsi="Arial" w:cs="Arial"/>
          <w:b/>
          <w:bCs/>
          <w:caps/>
          <w:color w:val="002F5D"/>
          <w:sz w:val="21"/>
          <w:szCs w:val="21"/>
        </w:rPr>
        <w:t>. Fed. Ingresos Públicos) 4550</w:t>
      </w:r>
    </w:p>
    <w:p w:rsidR="009454BF" w:rsidRDefault="009454BF"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Se incrementan los importes a partir de los cuales las operaciones de venta de automotores resultan alcanzadas por los regímenes de información, según el siguiente detalle: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Intermediación y/o compraventa de automotores y </w:t>
      </w:r>
      <w:proofErr w:type="spellStart"/>
      <w:r w:rsidRPr="00CE400C">
        <w:rPr>
          <w:rFonts w:ascii="Arial" w:eastAsia="Times New Roman" w:hAnsi="Arial" w:cs="Arial"/>
          <w:b/>
          <w:bCs/>
          <w:color w:val="666666"/>
          <w:sz w:val="20"/>
          <w:szCs w:val="20"/>
        </w:rPr>
        <w:t>motovehículos</w:t>
      </w:r>
      <w:proofErr w:type="spellEnd"/>
      <w:r w:rsidRPr="00CE400C">
        <w:rPr>
          <w:rFonts w:ascii="Arial" w:eastAsia="Times New Roman" w:hAnsi="Arial" w:cs="Arial"/>
          <w:b/>
          <w:bCs/>
          <w:color w:val="666666"/>
          <w:sz w:val="20"/>
          <w:szCs w:val="20"/>
        </w:rPr>
        <w:t xml:space="preserve"> usados -RG (AFIP</w:t>
      </w:r>
      <w:proofErr w:type="gramStart"/>
      <w:r w:rsidRPr="00CE400C">
        <w:rPr>
          <w:rFonts w:ascii="Arial" w:eastAsia="Times New Roman" w:hAnsi="Arial" w:cs="Arial"/>
          <w:b/>
          <w:bCs/>
          <w:color w:val="666666"/>
          <w:sz w:val="20"/>
          <w:szCs w:val="20"/>
        </w:rPr>
        <w:t>)2032</w:t>
      </w:r>
      <w:proofErr w:type="gramEnd"/>
      <w:r>
        <w:rPr>
          <w:rFonts w:ascii="Arial" w:eastAsia="Times New Roman" w:hAnsi="Arial" w:cs="Arial"/>
          <w:b/>
          <w:bCs/>
          <w:color w:val="666666"/>
          <w:sz w:val="20"/>
          <w:szCs w:val="20"/>
        </w:rPr>
        <w:t>:</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a) Vehículos automotores usados por valores iguales o superiores a $ 200.000;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b) </w:t>
      </w:r>
      <w:proofErr w:type="spellStart"/>
      <w:r w:rsidRPr="00CE400C">
        <w:rPr>
          <w:rFonts w:ascii="Arial" w:eastAsia="Times New Roman" w:hAnsi="Arial" w:cs="Arial"/>
          <w:b/>
          <w:bCs/>
          <w:color w:val="666666"/>
          <w:sz w:val="20"/>
          <w:szCs w:val="20"/>
        </w:rPr>
        <w:t>Motovehículos</w:t>
      </w:r>
      <w:proofErr w:type="spellEnd"/>
      <w:r w:rsidRPr="00CE400C">
        <w:rPr>
          <w:rFonts w:ascii="Arial" w:eastAsia="Times New Roman" w:hAnsi="Arial" w:cs="Arial"/>
          <w:b/>
          <w:bCs/>
          <w:color w:val="666666"/>
          <w:sz w:val="20"/>
          <w:szCs w:val="20"/>
        </w:rPr>
        <w:t xml:space="preserve"> usados por valores iguales o superiores a $ 80.000.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Titulares registrales que transfieran automotores y </w:t>
      </w:r>
      <w:proofErr w:type="spellStart"/>
      <w:r w:rsidRPr="00CE400C">
        <w:rPr>
          <w:rFonts w:ascii="Arial" w:eastAsia="Times New Roman" w:hAnsi="Arial" w:cs="Arial"/>
          <w:b/>
          <w:bCs/>
          <w:color w:val="666666"/>
          <w:sz w:val="20"/>
          <w:szCs w:val="20"/>
        </w:rPr>
        <w:t>motovehículos</w:t>
      </w:r>
      <w:proofErr w:type="spellEnd"/>
      <w:r w:rsidRPr="00CE400C">
        <w:rPr>
          <w:rFonts w:ascii="Arial" w:eastAsia="Times New Roman" w:hAnsi="Arial" w:cs="Arial"/>
          <w:b/>
          <w:bCs/>
          <w:color w:val="666666"/>
          <w:sz w:val="20"/>
          <w:szCs w:val="20"/>
        </w:rPr>
        <w:t xml:space="preserve"> usados. Obtención del “Certificado de Transferencia de Automotores” CETA -RG (AFIP) 2729-: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a) Cuando el valor de los mismos sea igual o superior a $ 800.000.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lastRenderedPageBreak/>
        <w:t>Señalamos que los presentes importes serán actualizados anualmente, con vigencia a partir del 1 de marzo de cada año con base en la variación del Índice de Precios al Consumidor (IPC) del año anterior.</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Por otra parte, con respecto a la tramitación del CETA, se establecen precisiones cuando la CUIT del titular se encuentre en estado inactivo, y se elimina la posibilidad de solicitarlo en forma telefónica.</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En otro orden, se incrementan los importes aplicables al régimen de retención de ganancias para materiales a reciclar -RG (AFIP) 2849- según el siguiente detalle:</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Se incrementa a $ 40.000 el monto de operaciones no sujeto a retención que deben aplicar los acopiadores, </w:t>
      </w:r>
      <w:proofErr w:type="spellStart"/>
      <w:r w:rsidRPr="00CE400C">
        <w:rPr>
          <w:rFonts w:ascii="Arial" w:eastAsia="Times New Roman" w:hAnsi="Arial" w:cs="Arial"/>
          <w:b/>
          <w:bCs/>
          <w:color w:val="666666"/>
          <w:sz w:val="20"/>
          <w:szCs w:val="20"/>
        </w:rPr>
        <w:t>galponeros</w:t>
      </w:r>
      <w:proofErr w:type="spellEnd"/>
      <w:r w:rsidRPr="00CE400C">
        <w:rPr>
          <w:rFonts w:ascii="Arial" w:eastAsia="Times New Roman" w:hAnsi="Arial" w:cs="Arial"/>
          <w:b/>
          <w:bCs/>
          <w:color w:val="666666"/>
          <w:sz w:val="20"/>
          <w:szCs w:val="20"/>
        </w:rPr>
        <w:t xml:space="preserve"> y los intermediarios cuando el sujeto pasible se encuentre inscripto en el Registro de comercializadores de materiales a reciclar.</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 Se incrementa a $ 240 el importe de la retención que no se encuentra obligada al ingreso cuando el sujeto pasible resulte un sujeto inscripto en el Registro de comercializadores de materiales a reciclar.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Señalamos que las presentes disposiciones resultan de aplicación desde el 20/8/2019, inclusive</w:t>
      </w:r>
      <w:r>
        <w:rPr>
          <w:rFonts w:ascii="Arial" w:eastAsia="Times New Roman" w:hAnsi="Arial" w:cs="Arial"/>
          <w:b/>
          <w:bCs/>
          <w:color w:val="666666"/>
          <w:sz w:val="20"/>
          <w:szCs w:val="20"/>
        </w:rPr>
        <w:t>.</w:t>
      </w: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091AF1" w:rsidRPr="00091AF1" w:rsidRDefault="00091AF1" w:rsidP="00091AF1">
      <w:pPr>
        <w:pStyle w:val="NormalWeb"/>
        <w:spacing w:before="0" w:beforeAutospacing="0" w:after="0" w:afterAutospacing="0"/>
        <w:jc w:val="both"/>
        <w:rPr>
          <w:rFonts w:ascii="Arial" w:hAnsi="Arial" w:cs="Arial"/>
          <w:b/>
          <w:bCs/>
          <w:caps/>
          <w:color w:val="002F5D"/>
          <w:sz w:val="21"/>
          <w:szCs w:val="21"/>
        </w:rPr>
      </w:pPr>
      <w:r w:rsidRPr="00091AF1">
        <w:rPr>
          <w:rFonts w:ascii="Arial" w:hAnsi="Arial" w:cs="Arial"/>
          <w:b/>
          <w:bCs/>
          <w:caps/>
          <w:color w:val="002F5D"/>
          <w:sz w:val="21"/>
          <w:szCs w:val="21"/>
        </w:rPr>
        <w:t xml:space="preserve">Monotributo. Se hace efectiva la bonificación del impuesto integrado de setiembre. Hasta el día de hoy tienen plazo para abonar las cuotas de enero a agosto para acceder al beneficio </w:t>
      </w:r>
      <w:r>
        <w:rPr>
          <w:rFonts w:ascii="Arial" w:hAnsi="Arial" w:cs="Arial"/>
          <w:b/>
          <w:bCs/>
          <w:caps/>
          <w:color w:val="002F5D"/>
          <w:sz w:val="21"/>
          <w:szCs w:val="21"/>
        </w:rPr>
        <w:t xml:space="preserve">- </w:t>
      </w:r>
      <w:r w:rsidRPr="00091AF1">
        <w:rPr>
          <w:rFonts w:ascii="Arial" w:hAnsi="Arial" w:cs="Arial"/>
          <w:b/>
          <w:bCs/>
          <w:caps/>
          <w:color w:val="002F5D"/>
          <w:sz w:val="21"/>
          <w:szCs w:val="21"/>
        </w:rPr>
        <w:t>RESOLUCIÓN GENERAL (</w:t>
      </w:r>
      <w:proofErr w:type="spellStart"/>
      <w:r w:rsidRPr="00091AF1">
        <w:rPr>
          <w:rFonts w:ascii="Arial" w:hAnsi="Arial" w:cs="Arial"/>
          <w:b/>
          <w:bCs/>
          <w:caps/>
          <w:color w:val="002F5D"/>
          <w:sz w:val="21"/>
          <w:szCs w:val="21"/>
        </w:rPr>
        <w:t>Adm</w:t>
      </w:r>
      <w:proofErr w:type="spellEnd"/>
      <w:r w:rsidRPr="00091AF1">
        <w:rPr>
          <w:rFonts w:ascii="Arial" w:hAnsi="Arial" w:cs="Arial"/>
          <w:b/>
          <w:bCs/>
          <w:caps/>
          <w:color w:val="002F5D"/>
          <w:sz w:val="21"/>
          <w:szCs w:val="21"/>
        </w:rPr>
        <w:t>. Fed. Ingresos Públicos) 4556</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Se establecen las condiciones para que resulte aplicable la bonificación del impuesto integrado de setiembre de 2019 para los contribuyentes que hayan cumplido con las obligaciones mensuales de los meses de enero a agosto de este año.</w:t>
      </w: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En tal sentido, se establece que el presente beneficio resulta aplicable a los sujetos que hayan abonado las citadas cuotas del monotributo hasta el día de hoy, o si las hubieran regularizado con un plan de facilidades de pago vigente.</w:t>
      </w:r>
    </w:p>
    <w:p w:rsidR="00CE400C"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Por otra parte, se establece que desde el “Portal Monotributo” se visualizará el importe de la cotización previsional que corresponderá abonar y se podrá efectuar su ingreso, como así también se establecen precisiones cuando el citado ingreso sea realizado en forma presencial en las entidades autorizadas para su cobro</w:t>
      </w:r>
      <w:r>
        <w:rPr>
          <w:rFonts w:ascii="Arial" w:eastAsia="Times New Roman" w:hAnsi="Arial" w:cs="Arial"/>
          <w:b/>
          <w:bCs/>
          <w:color w:val="666666"/>
          <w:sz w:val="20"/>
          <w:szCs w:val="20"/>
        </w:rPr>
        <w:t>.</w:t>
      </w: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pStyle w:val="Ttulo1"/>
        <w:shd w:val="clear" w:color="auto" w:fill="FDE9D9" w:themeFill="accent6" w:themeFillTint="33"/>
        <w:spacing w:before="0"/>
        <w:rPr>
          <w:rFonts w:ascii="Arial" w:eastAsiaTheme="minorHAnsi" w:hAnsi="Arial" w:cs="Arial"/>
          <w:caps/>
          <w:color w:val="002F5D"/>
          <w:sz w:val="21"/>
          <w:szCs w:val="21"/>
        </w:rPr>
      </w:pPr>
      <w:r w:rsidRPr="00CE400C">
        <w:rPr>
          <w:rFonts w:ascii="Arial" w:eastAsiaTheme="minorHAnsi" w:hAnsi="Arial" w:cs="Arial"/>
          <w:caps/>
          <w:color w:val="002F5D"/>
          <w:sz w:val="21"/>
          <w:szCs w:val="21"/>
        </w:rPr>
        <w:t>Oficial: categorías y cuotas del Monotributo 2020 aumentan un 51,1 por ciento</w:t>
      </w:r>
      <w:r>
        <w:rPr>
          <w:rFonts w:ascii="Arial" w:eastAsiaTheme="minorHAnsi" w:hAnsi="Arial" w:cs="Arial"/>
          <w:caps/>
          <w:color w:val="002F5D"/>
          <w:sz w:val="21"/>
          <w:szCs w:val="21"/>
        </w:rPr>
        <w:t xml:space="preserve"> – iProfesional – 23/08/19</w:t>
      </w:r>
    </w:p>
    <w:p w:rsidR="00CE400C" w:rsidRDefault="00CE400C" w:rsidP="00CE400C"/>
    <w:p w:rsidR="00CE400C" w:rsidRDefault="00CE400C" w:rsidP="00CE400C">
      <w:pPr>
        <w:shd w:val="clear" w:color="auto" w:fill="FDE9D9" w:themeFill="accent6" w:themeFillTint="33"/>
        <w:spacing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Este jueves se publicó el índice RIPTE correspondiente al mes de junio/2019 que era el único dato faltante para calcular en cuánto aumentarán exactamente las categorías y cuota del monotributo 2020.</w:t>
      </w:r>
    </w:p>
    <w:p w:rsidR="00CE400C" w:rsidRPr="00CE400C" w:rsidRDefault="00CE400C" w:rsidP="00CE400C">
      <w:pPr>
        <w:shd w:val="clear" w:color="auto" w:fill="FDE9D9" w:themeFill="accent6" w:themeFillTint="33"/>
        <w:spacing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lastRenderedPageBreak/>
        <w:t>P</w:t>
      </w:r>
      <w:r w:rsidRPr="00CE400C">
        <w:rPr>
          <w:rFonts w:ascii="Arial" w:eastAsia="Times New Roman" w:hAnsi="Arial" w:cs="Arial"/>
          <w:b/>
          <w:bCs/>
          <w:color w:val="666666"/>
          <w:sz w:val="20"/>
          <w:szCs w:val="20"/>
        </w:rPr>
        <w:t xml:space="preserve">ara 2019 el incremento fue del 28,46% resultado del valor de la movilidad de marzo/2018 del 5,71% (Res. 2/2018 </w:t>
      </w:r>
      <w:proofErr w:type="spellStart"/>
      <w:r w:rsidRPr="00CE400C">
        <w:rPr>
          <w:rFonts w:ascii="Arial" w:eastAsia="Times New Roman" w:hAnsi="Arial" w:cs="Arial"/>
          <w:b/>
          <w:bCs/>
          <w:color w:val="666666"/>
          <w:sz w:val="20"/>
          <w:szCs w:val="20"/>
        </w:rPr>
        <w:t>SecSS</w:t>
      </w:r>
      <w:proofErr w:type="spellEnd"/>
      <w:r w:rsidRPr="00CE400C">
        <w:rPr>
          <w:rFonts w:ascii="Arial" w:eastAsia="Times New Roman" w:hAnsi="Arial" w:cs="Arial"/>
          <w:b/>
          <w:bCs/>
          <w:color w:val="666666"/>
          <w:sz w:val="20"/>
          <w:szCs w:val="20"/>
        </w:rPr>
        <w:t xml:space="preserve">), de junio/2018 del 5,69% (Res. 6/2018 </w:t>
      </w:r>
      <w:proofErr w:type="spellStart"/>
      <w:r w:rsidRPr="00CE400C">
        <w:rPr>
          <w:rFonts w:ascii="Arial" w:eastAsia="Times New Roman" w:hAnsi="Arial" w:cs="Arial"/>
          <w:b/>
          <w:bCs/>
          <w:color w:val="666666"/>
          <w:sz w:val="20"/>
          <w:szCs w:val="20"/>
        </w:rPr>
        <w:t>SecSS</w:t>
      </w:r>
      <w:proofErr w:type="spellEnd"/>
      <w:r w:rsidRPr="00CE400C">
        <w:rPr>
          <w:rFonts w:ascii="Arial" w:eastAsia="Times New Roman" w:hAnsi="Arial" w:cs="Arial"/>
          <w:b/>
          <w:bCs/>
          <w:color w:val="666666"/>
          <w:sz w:val="20"/>
          <w:szCs w:val="20"/>
        </w:rPr>
        <w:t xml:space="preserve">), de septiembre/2018 del 6,68% (Res. 10/2018 </w:t>
      </w:r>
      <w:proofErr w:type="spellStart"/>
      <w:r w:rsidRPr="00CE400C">
        <w:rPr>
          <w:rFonts w:ascii="Arial" w:eastAsia="Times New Roman" w:hAnsi="Arial" w:cs="Arial"/>
          <w:b/>
          <w:bCs/>
          <w:color w:val="666666"/>
          <w:sz w:val="20"/>
          <w:szCs w:val="20"/>
        </w:rPr>
        <w:t>SecSS</w:t>
      </w:r>
      <w:proofErr w:type="spellEnd"/>
      <w:r w:rsidRPr="00CE400C">
        <w:rPr>
          <w:rFonts w:ascii="Arial" w:eastAsia="Times New Roman" w:hAnsi="Arial" w:cs="Arial"/>
          <w:b/>
          <w:bCs/>
          <w:color w:val="666666"/>
          <w:sz w:val="20"/>
          <w:szCs w:val="20"/>
        </w:rPr>
        <w:t xml:space="preserve">) y de diciembre/2018 del 7,78% (Res. 2/2018 </w:t>
      </w:r>
      <w:proofErr w:type="spellStart"/>
      <w:r w:rsidRPr="00CE400C">
        <w:rPr>
          <w:rFonts w:ascii="Arial" w:eastAsia="Times New Roman" w:hAnsi="Arial" w:cs="Arial"/>
          <w:b/>
          <w:bCs/>
          <w:color w:val="666666"/>
          <w:sz w:val="20"/>
          <w:szCs w:val="20"/>
        </w:rPr>
        <w:t>SecSS</w:t>
      </w:r>
      <w:proofErr w:type="spellEnd"/>
      <w:r w:rsidRPr="00CE400C">
        <w:rPr>
          <w:rFonts w:ascii="Arial" w:eastAsia="Times New Roman" w:hAnsi="Arial" w:cs="Arial"/>
          <w:b/>
          <w:bCs/>
          <w:color w:val="666666"/>
          <w:sz w:val="20"/>
          <w:szCs w:val="20"/>
        </w:rPr>
        <w:t>).</w:t>
      </w:r>
    </w:p>
    <w:p w:rsidR="00CE400C" w:rsidRDefault="00CE400C" w:rsidP="00CE400C">
      <w:pPr>
        <w:shd w:val="clear" w:color="auto" w:fill="FDE9D9" w:themeFill="accent6" w:themeFillTint="33"/>
        <w:spacing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En tanto, para 2018 el incremento fue del 28% resultado del valor de la movilidad de marzo/2017 del 12,96% (Res. 34/17 ANSES) y de septiembre/2017 del 13,32% (Res. 176/17 ANSES).</w:t>
      </w:r>
      <w:r w:rsidRPr="00CE400C">
        <w:rPr>
          <w:rFonts w:ascii="Arial" w:eastAsia="Times New Roman" w:hAnsi="Arial" w:cs="Arial"/>
          <w:b/>
          <w:bCs/>
          <w:color w:val="666666"/>
          <w:sz w:val="20"/>
          <w:szCs w:val="20"/>
        </w:rPr>
        <w:br/>
        <w:t>El artículo 52 del anexo de la Ley 24.977 de Monotributo, de acuerdo al texto de la Ley 27.430 de Reforma Tributaria vigente desde el 1 de enero de este año, establece que "los montos máximos de facturación, los montos de alquileres devengados y los importes del </w:t>
      </w:r>
      <w:hyperlink r:id="rId8" w:tgtFrame="_blank" w:history="1">
        <w:r w:rsidRPr="00CE400C">
          <w:rPr>
            <w:rFonts w:ascii="Arial" w:eastAsia="Times New Roman" w:hAnsi="Arial" w:cs="Arial"/>
            <w:b/>
            <w:bCs/>
            <w:color w:val="666666"/>
            <w:sz w:val="20"/>
            <w:szCs w:val="20"/>
          </w:rPr>
          <w:t>impuesto</w:t>
        </w:r>
      </w:hyperlink>
      <w:r w:rsidRPr="00CE400C">
        <w:rPr>
          <w:rFonts w:ascii="Arial" w:eastAsia="Times New Roman" w:hAnsi="Arial" w:cs="Arial"/>
          <w:b/>
          <w:bCs/>
          <w:color w:val="666666"/>
          <w:sz w:val="20"/>
          <w:szCs w:val="20"/>
        </w:rPr>
        <w:t> integrado a ingresar, correspondientes a cada categoría de pequeño contribuyente, así como las cotizaciones previsionales y los importes consignados en el inciso c) del tercer párrafo del artículo 2, en el inciso e) del segundo párrafo del artículo 31 y en el primer párrafo del artículo 32, se actualizarán anualmente en enero en la proporción de las 2 últimas variaciones del índice de movilidad de las prestaciones previsionales, previsto en el artículo 32 de la ley 24.241 y sus modificaciones y normas complementarias.</w:t>
      </w:r>
      <w:r w:rsidRPr="00CE400C">
        <w:rPr>
          <w:rFonts w:ascii="Arial" w:eastAsia="Times New Roman" w:hAnsi="Arial" w:cs="Arial"/>
          <w:b/>
          <w:bCs/>
          <w:color w:val="666666"/>
          <w:sz w:val="20"/>
          <w:szCs w:val="20"/>
        </w:rPr>
        <w:br/>
        <w:t>Las actualizaciones dispuestas precedentemente resultarán aplicables a partir de enero de cada año, debiendo considerarse los nuevos valores de los parámetros de ingresos brutos y alquileres devengados para la recategorización prevista en el primer párrafo del artículo 9° correspondiente al segundo semestre calendario del año anterior.</w:t>
      </w:r>
    </w:p>
    <w:p w:rsidR="00CE400C" w:rsidRDefault="00CE400C" w:rsidP="00CE400C">
      <w:pPr>
        <w:shd w:val="clear" w:color="auto" w:fill="FDE9D9" w:themeFill="accent6" w:themeFillTint="33"/>
        <w:spacing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Para complementar la lectura de lo que corresponde a la hora de actualizar los montos en cuestión, se debe considerar lo que estipula el artículo sin número agregado a continuación del artículo 79 del Decreto 1/10 reglamentario de la Ley de Monotributo, texto incorporado por el Decreto 601/18 el cual manifiesta que "La AFIP efectuará las actualizaciones dispuestas en el artículo 52 del "Anexo" en enero de cada año, considerando, en cada caso, la variación del índice de movilidad de las prestaciones previsionales, previsto en el artículo 32 de la Ley 24.241 y sus modificaciones y normas complementarias, correspondiente al año calendario completo que finalice el mes inmediato anterior al de la actualización que se realice". </w:t>
      </w:r>
      <w:r w:rsidRPr="00CE400C">
        <w:rPr>
          <w:rFonts w:ascii="Arial" w:eastAsia="Times New Roman" w:hAnsi="Arial" w:cs="Arial"/>
          <w:b/>
          <w:bCs/>
          <w:color w:val="666666"/>
          <w:sz w:val="20"/>
          <w:szCs w:val="20"/>
        </w:rPr>
        <w:br/>
        <w:t xml:space="preserve">Por último, debemos tener en cuenta lo considerado en el artículo 100 de la Resolución General 4.309 que establece que "La actualización anual prevista en el Artículo 52 del "Anexo" resultará de aplicación a partir del 1 de enero de cada año. Esta Administración Federal difundirá, a través del portal "web", la actualización de los montos máximos de facturación, de alquileres devengados, del precio máximo unitario de venta, del impuesto integrado y de las cotizaciones previsionales respectivas, y de los importes a que refieren </w:t>
      </w:r>
      <w:r w:rsidRPr="00CE400C">
        <w:rPr>
          <w:rFonts w:ascii="Arial" w:eastAsia="Times New Roman" w:hAnsi="Arial" w:cs="Arial"/>
          <w:b/>
          <w:bCs/>
          <w:color w:val="666666"/>
          <w:sz w:val="20"/>
          <w:szCs w:val="20"/>
        </w:rPr>
        <w:lastRenderedPageBreak/>
        <w:t>el inciso e) del segundo párrafo del Artículo 31 y el primer párrafo del Artículo 32, ambos del "Anexo".</w:t>
      </w:r>
    </w:p>
    <w:p w:rsidR="00CE400C" w:rsidRPr="00091AF1" w:rsidRDefault="00CE400C" w:rsidP="00CE400C">
      <w:pPr>
        <w:pStyle w:val="Ttulo3"/>
        <w:shd w:val="clear" w:color="auto" w:fill="FDE9D9" w:themeFill="accent6" w:themeFillTint="33"/>
        <w:spacing w:before="0" w:after="300" w:line="375" w:lineRule="atLeast"/>
        <w:rPr>
          <w:rFonts w:ascii="Arial" w:eastAsiaTheme="minorHAnsi" w:hAnsi="Arial" w:cs="Arial"/>
          <w:caps/>
          <w:color w:val="002F5D"/>
          <w:sz w:val="21"/>
          <w:szCs w:val="21"/>
        </w:rPr>
      </w:pPr>
      <w:r w:rsidRPr="00091AF1">
        <w:rPr>
          <w:rFonts w:ascii="Arial" w:eastAsiaTheme="minorHAnsi" w:hAnsi="Arial" w:cs="Arial"/>
          <w:caps/>
          <w:color w:val="002F5D"/>
          <w:sz w:val="21"/>
          <w:szCs w:val="21"/>
        </w:rPr>
        <w:t>¿En cuánto aumentan las categorías y cuota del Monotributo en 2020?</w:t>
      </w:r>
    </w:p>
    <w:p w:rsidR="00091AF1" w:rsidRDefault="00CE400C"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Ahora bien, de acuerdo a lo antes expuesto podemos considerar en cuánto se van a actualizar los topes por categoría, los montos a ingresar, el tope de alquileres devengados y el precio máximo unitario de venta a partir del 1° de enero de 2020.</w:t>
      </w:r>
    </w:p>
    <w:p w:rsidR="00CE400C" w:rsidRDefault="00CE400C"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Tal como estipula el Decreto 1/10 debemos tener en consideración la variación del índice de movilidad correspondiente al año calendario completo que finaliza en diciembre de 2018. Esto lo podemos apreciar en la siguiente tabla:</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p>
    <w:p w:rsidR="00091AF1" w:rsidRP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drawing>
          <wp:inline distT="0" distB="0" distL="0" distR="0">
            <wp:extent cx="5581015" cy="1305747"/>
            <wp:effectExtent l="19050" t="0" r="635" b="0"/>
            <wp:docPr id="2" name="Imagen 8" descr="https://assets.iprofesional.com/assets/jpg/2019/08/482886.jpg?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s.iprofesional.com/assets/jpg/2019/08/482886.jpg?3.5.0.1"/>
                    <pic:cNvPicPr>
                      <a:picLocks noChangeAspect="1" noChangeArrowheads="1"/>
                    </pic:cNvPicPr>
                  </pic:nvPicPr>
                  <pic:blipFill>
                    <a:blip r:embed="rId9" cstate="print"/>
                    <a:srcRect/>
                    <a:stretch>
                      <a:fillRect/>
                    </a:stretch>
                  </pic:blipFill>
                  <pic:spPr bwMode="auto">
                    <a:xfrm>
                      <a:off x="0" y="0"/>
                      <a:ext cx="5581015" cy="1305747"/>
                    </a:xfrm>
                    <a:prstGeom prst="rect">
                      <a:avLst/>
                    </a:prstGeom>
                    <a:noFill/>
                    <a:ln w="9525">
                      <a:noFill/>
                      <a:miter lim="800000"/>
                      <a:headEnd/>
                      <a:tailEnd/>
                    </a:ln>
                  </pic:spPr>
                </pic:pic>
              </a:graphicData>
            </a:graphic>
          </wp:inline>
        </w:drawing>
      </w:r>
    </w:p>
    <w:p w:rsidR="00CE400C" w:rsidRPr="00CE400C" w:rsidRDefault="00CE400C" w:rsidP="00CE400C">
      <w:pPr>
        <w:shd w:val="clear" w:color="auto" w:fill="FDE9D9" w:themeFill="accent6" w:themeFillTint="33"/>
        <w:spacing w:line="360" w:lineRule="auto"/>
        <w:jc w:val="both"/>
        <w:rPr>
          <w:rFonts w:ascii="Arial" w:eastAsia="Times New Roman" w:hAnsi="Arial" w:cs="Arial"/>
          <w:b/>
          <w:bCs/>
          <w:color w:val="666666"/>
          <w:sz w:val="20"/>
          <w:szCs w:val="20"/>
        </w:rPr>
      </w:pP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 El índice de diciembre no ha sido publicado, sin embargo el mismo ya se puede calcular con exactitud teniendo en cuenta la publicación del RIPTE de junio que era el único dato faltante a la fecha. Por lo tanto, el 8,74% surge de aplicar la misma fórmula contenida en el Anexo de la Ley 27.426.</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Los índices IPC y RIPTE pueden consultarse en los sitios web del INDEC y del Ministerio de Producción y Trabajo de la Nación respectivamente.</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Por lo tanto, de cumplirse con lo que estipula la Ley de Monotributo, desde el 1° de enero próximo la </w:t>
      </w:r>
      <w:hyperlink r:id="rId10" w:tgtFrame="_blank" w:history="1">
        <w:r w:rsidRPr="00091AF1">
          <w:rPr>
            <w:rFonts w:ascii="Arial" w:eastAsia="Times New Roman" w:hAnsi="Arial" w:cs="Arial"/>
            <w:b/>
            <w:bCs/>
            <w:color w:val="666666"/>
            <w:sz w:val="20"/>
            <w:szCs w:val="20"/>
          </w:rPr>
          <w:t>AFIP</w:t>
        </w:r>
      </w:hyperlink>
      <w:r w:rsidRPr="00091AF1">
        <w:rPr>
          <w:rFonts w:ascii="Arial" w:eastAsia="Times New Roman" w:hAnsi="Arial" w:cs="Arial"/>
          <w:b/>
          <w:bCs/>
          <w:color w:val="666666"/>
          <w:sz w:val="20"/>
          <w:szCs w:val="20"/>
        </w:rPr>
        <w:t> deberá publicar en su sitio web el cuadro de categorías con los ingresos brutos anuales, los alquileres devengados anuales y el importe a pagar tanto por la parte impositiva como por el aporte previsional incrementados en un 51,1 por ciento.</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De esta manera, los topes para permanecer en el régimen pasarán de $1.151.066 a $1.739.261 para el caso de quienes presten servicios y de $1.726.599 a $2.608.892 para quienes realicen ventas de cosas muebles.</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En tanto, la cuota mínima se incrementará de $1.141 a $1.450 para todos y la máxima de $6.101 a $8.945 para los locadores y prestadores de servicios (categoría H) y de $9.585 a $14.209 para quienes tengan actividad de comercio (categoría K).</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lastRenderedPageBreak/>
        <w:t>En el mismo porcentaje se incrementará el precio máximo unitario de venta en el caso de quienes tengan como actividad la venta de cosas muebles pasando de $19.269 a 29.115 pesos.</w:t>
      </w:r>
    </w:p>
    <w:p w:rsidR="00091AF1" w:rsidRPr="00091AF1" w:rsidRDefault="00091AF1" w:rsidP="00091AF1">
      <w:pPr>
        <w:pStyle w:val="NormalWeb"/>
        <w:shd w:val="clear" w:color="auto" w:fill="FDE9D9" w:themeFill="accent6" w:themeFillTint="33"/>
        <w:spacing w:before="0" w:beforeAutospacing="0" w:after="0" w:afterAutospacing="0" w:line="375" w:lineRule="atLeast"/>
        <w:jc w:val="both"/>
        <w:rPr>
          <w:rFonts w:ascii="Arial" w:hAnsi="Arial" w:cs="Arial"/>
          <w:b/>
          <w:caps/>
          <w:color w:val="002F5D"/>
          <w:sz w:val="21"/>
          <w:szCs w:val="21"/>
        </w:rPr>
      </w:pPr>
      <w:r w:rsidRPr="00091AF1">
        <w:rPr>
          <w:rFonts w:ascii="Arial" w:hAnsi="Arial" w:cs="Arial"/>
          <w:b/>
          <w:caps/>
          <w:color w:val="002F5D"/>
          <w:sz w:val="21"/>
          <w:szCs w:val="21"/>
        </w:rPr>
        <w:t>Así queda el cuadro de categorías 2020</w:t>
      </w:r>
    </w:p>
    <w:p w:rsid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A continuación presentamos el cuadro de categorías y cuota del monotributo 2020 como así también el precio máximo unitario de venta que corresponde aplicar como tope a partir del 1 de enero de 2020</w:t>
      </w:r>
      <w:r>
        <w:rPr>
          <w:rFonts w:ascii="Arial" w:eastAsia="Times New Roman" w:hAnsi="Arial" w:cs="Arial"/>
          <w:b/>
          <w:bCs/>
          <w:color w:val="666666"/>
          <w:sz w:val="20"/>
          <w:szCs w:val="20"/>
        </w:rPr>
        <w:t>:</w:t>
      </w:r>
    </w:p>
    <w:p w:rsidR="00091AF1" w:rsidRPr="00091AF1" w:rsidRDefault="00091AF1" w:rsidP="00091AF1">
      <w:pPr>
        <w:pStyle w:val="NormalWeb"/>
        <w:shd w:val="clear" w:color="auto" w:fill="FDE9D9" w:themeFill="accent6" w:themeFillTint="33"/>
        <w:spacing w:before="0" w:beforeAutospacing="0" w:after="0" w:afterAutospacing="0" w:line="375" w:lineRule="atLeast"/>
        <w:jc w:val="both"/>
        <w:rPr>
          <w:rFonts w:ascii="Arial" w:eastAsia="Times New Roman" w:hAnsi="Arial" w:cs="Arial"/>
          <w:b/>
          <w:bCs/>
          <w:color w:val="666666"/>
          <w:sz w:val="20"/>
          <w:szCs w:val="20"/>
        </w:rPr>
      </w:pPr>
    </w:p>
    <w:tbl>
      <w:tblPr>
        <w:tblW w:w="9376" w:type="dxa"/>
        <w:tblCellMar>
          <w:left w:w="70" w:type="dxa"/>
          <w:right w:w="70" w:type="dxa"/>
        </w:tblCellMar>
        <w:tblLook w:val="04A0"/>
      </w:tblPr>
      <w:tblGrid>
        <w:gridCol w:w="873"/>
        <w:gridCol w:w="999"/>
        <w:gridCol w:w="903"/>
        <w:gridCol w:w="899"/>
        <w:gridCol w:w="960"/>
        <w:gridCol w:w="960"/>
        <w:gridCol w:w="984"/>
        <w:gridCol w:w="910"/>
        <w:gridCol w:w="896"/>
        <w:gridCol w:w="992"/>
      </w:tblGrid>
      <w:tr w:rsidR="00091AF1" w:rsidRPr="00FC1DE6" w:rsidTr="00091AF1">
        <w:trPr>
          <w:gridAfter w:val="1"/>
          <w:wAfter w:w="1008" w:type="dxa"/>
          <w:trHeight w:val="301"/>
        </w:trPr>
        <w:tc>
          <w:tcPr>
            <w:tcW w:w="89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proofErr w:type="spellStart"/>
            <w:r w:rsidRPr="00091AF1">
              <w:rPr>
                <w:rFonts w:ascii="Calibri" w:eastAsia="Times New Roman" w:hAnsi="Calibri"/>
                <w:b/>
                <w:color w:val="000000"/>
                <w:sz w:val="16"/>
                <w:szCs w:val="16"/>
              </w:rPr>
              <w:t>Categ</w:t>
            </w:r>
            <w:proofErr w:type="spellEnd"/>
            <w:r w:rsidRPr="00091AF1">
              <w:rPr>
                <w:rFonts w:ascii="Calibri" w:eastAsia="Times New Roman" w:hAnsi="Calibri"/>
                <w:b/>
                <w:color w:val="000000"/>
                <w:sz w:val="16"/>
                <w:szCs w:val="16"/>
              </w:rPr>
              <w: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Ingresos Brutos Anuales</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Actividad</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proofErr w:type="spellStart"/>
            <w:r w:rsidRPr="00091AF1">
              <w:rPr>
                <w:rFonts w:ascii="Calibri" w:eastAsia="Times New Roman" w:hAnsi="Calibri"/>
                <w:b/>
                <w:color w:val="000000"/>
                <w:sz w:val="16"/>
                <w:szCs w:val="16"/>
              </w:rPr>
              <w:t>Sup</w:t>
            </w:r>
            <w:proofErr w:type="spellEnd"/>
            <w:r w:rsidRPr="00091AF1">
              <w:rPr>
                <w:rFonts w:ascii="Calibri" w:eastAsia="Times New Roman" w:hAnsi="Calibri"/>
                <w:b/>
                <w:color w:val="000000"/>
                <w:sz w:val="16"/>
                <w:szCs w:val="16"/>
              </w:rPr>
              <w:t>. Afectada</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Energía Eléctrica Consumida Anualmente</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Alquileres Devengados Anualmente</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Impuesto Integrado</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Aportes al SIPA</w:t>
            </w:r>
          </w:p>
        </w:tc>
      </w:tr>
      <w:tr w:rsidR="00091AF1" w:rsidRPr="00FC1DE6" w:rsidTr="00091AF1">
        <w:trPr>
          <w:trHeight w:val="674"/>
        </w:trPr>
        <w:tc>
          <w:tcPr>
            <w:tcW w:w="89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8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1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0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4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4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9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Locaciones y/o Prestaciones de Servicios</w:t>
            </w:r>
          </w:p>
        </w:tc>
        <w:tc>
          <w:tcPr>
            <w:tcW w:w="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Venta de Cosas Muebles</w:t>
            </w:r>
          </w:p>
        </w:tc>
        <w:tc>
          <w:tcPr>
            <w:tcW w:w="907"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91AF1" w:rsidRPr="00091AF1" w:rsidRDefault="00091AF1" w:rsidP="00091AF1">
            <w:pPr>
              <w:rPr>
                <w:rFonts w:ascii="Calibri" w:eastAsia="Times New Roman" w:hAnsi="Calibri"/>
                <w:b/>
                <w:color w:val="000000"/>
                <w:sz w:val="16"/>
                <w:szCs w:val="16"/>
              </w:rPr>
            </w:pP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Aportes Obra Social</w:t>
            </w:r>
          </w:p>
        </w:tc>
      </w:tr>
      <w:tr w:rsidR="00091AF1" w:rsidRPr="00FC1DE6" w:rsidTr="00091AF1">
        <w:trPr>
          <w:trHeight w:val="301"/>
        </w:trPr>
        <w:tc>
          <w:tcPr>
            <w:tcW w:w="894" w:type="dxa"/>
            <w:tcBorders>
              <w:top w:val="single" w:sz="4" w:space="0" w:color="auto"/>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A</w:t>
            </w:r>
          </w:p>
        </w:tc>
        <w:tc>
          <w:tcPr>
            <w:tcW w:w="980"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208.711.39</w:t>
            </w:r>
          </w:p>
        </w:tc>
        <w:tc>
          <w:tcPr>
            <w:tcW w:w="912"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30 m2</w:t>
            </w:r>
          </w:p>
        </w:tc>
        <w:tc>
          <w:tcPr>
            <w:tcW w:w="942"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3330 Kw</w:t>
            </w:r>
          </w:p>
        </w:tc>
        <w:tc>
          <w:tcPr>
            <w:tcW w:w="942"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78.266.78</w:t>
            </w:r>
          </w:p>
        </w:tc>
        <w:tc>
          <w:tcPr>
            <w:tcW w:w="965"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168.95</w:t>
            </w:r>
          </w:p>
        </w:tc>
        <w:tc>
          <w:tcPr>
            <w:tcW w:w="916" w:type="dxa"/>
            <w:tcBorders>
              <w:top w:val="single" w:sz="4" w:space="0" w:color="auto"/>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168.95</w:t>
            </w:r>
          </w:p>
        </w:tc>
        <w:tc>
          <w:tcPr>
            <w:tcW w:w="907" w:type="dxa"/>
            <w:tcBorders>
              <w:top w:val="single" w:sz="4" w:space="0" w:color="auto"/>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745.39</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301"/>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B</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313.067.08</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45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5000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78.266.78</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325.49</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325.49</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819.93</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301"/>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C</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417.422.78</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60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6700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156.533.54</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556.57</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514.31</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901.93</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D</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626.134.19</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85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10000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156.533.54</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914.36</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844.79</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992.12</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E</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834.845.56</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110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13000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195.666.91</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1.739.26</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1.349.15</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1.091.34</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F</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1.043.556.96</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150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16500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195.666.91</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2.392.72</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1.761.62</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1.200.46</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G</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1.252.268.36</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234.800.32</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3.043.71</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2.196.43</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1.320.50</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1.739.261.60</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No excluida</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313.067.08</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6.957.04</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5.391.72</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1.452.55</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I</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2.043.632.39</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Venta de Bs. muebles</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313.067.08</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0</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8.696.30</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1.597.82</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J</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2.348.003.17</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Venta de Bs. muebles</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313.067.08</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0</w:t>
            </w:r>
          </w:p>
        </w:tc>
        <w:tc>
          <w:tcPr>
            <w:tcW w:w="916"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10.219.41</w:t>
            </w:r>
          </w:p>
        </w:tc>
        <w:tc>
          <w:tcPr>
            <w:tcW w:w="907" w:type="dxa"/>
            <w:tcBorders>
              <w:top w:val="nil"/>
              <w:left w:val="nil"/>
              <w:bottom w:val="single" w:sz="8" w:space="0" w:color="auto"/>
              <w:right w:val="single" w:sz="4"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1.757.60</w:t>
            </w:r>
          </w:p>
        </w:tc>
        <w:tc>
          <w:tcPr>
            <w:tcW w:w="1009" w:type="dxa"/>
            <w:tcBorders>
              <w:top w:val="single" w:sz="4" w:space="0" w:color="auto"/>
              <w:left w:val="single" w:sz="4" w:space="0" w:color="auto"/>
              <w:bottom w:val="single" w:sz="4" w:space="0" w:color="auto"/>
              <w:right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r w:rsidRPr="00D15D80">
              <w:rPr>
                <w:rFonts w:ascii="Calibri" w:eastAsia="Times New Roman" w:hAnsi="Calibri"/>
                <w:b/>
                <w:color w:val="000000"/>
                <w:sz w:val="16"/>
                <w:szCs w:val="16"/>
              </w:rPr>
              <w:t>1</w:t>
            </w:r>
            <w:r>
              <w:rPr>
                <w:rFonts w:ascii="Calibri" w:eastAsia="Times New Roman" w:hAnsi="Calibri"/>
                <w:b/>
                <w:color w:val="000000"/>
                <w:sz w:val="16"/>
                <w:szCs w:val="16"/>
              </w:rPr>
              <w:t>.</w:t>
            </w:r>
            <w:r w:rsidRPr="00D15D80">
              <w:rPr>
                <w:rFonts w:ascii="Calibri" w:eastAsia="Times New Roman" w:hAnsi="Calibri"/>
                <w:b/>
                <w:color w:val="000000"/>
                <w:sz w:val="16"/>
                <w:szCs w:val="16"/>
              </w:rPr>
              <w:t>041.07</w:t>
            </w:r>
          </w:p>
        </w:tc>
      </w:tr>
      <w:tr w:rsidR="00091AF1" w:rsidRPr="00FC1DE6" w:rsidTr="00091AF1">
        <w:trPr>
          <w:trHeight w:val="458"/>
        </w:trPr>
        <w:tc>
          <w:tcPr>
            <w:tcW w:w="894" w:type="dxa"/>
            <w:tcBorders>
              <w:top w:val="nil"/>
              <w:left w:val="single" w:sz="8" w:space="0" w:color="auto"/>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K</w:t>
            </w:r>
          </w:p>
        </w:tc>
        <w:tc>
          <w:tcPr>
            <w:tcW w:w="980"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2.608.892.42</w:t>
            </w:r>
          </w:p>
        </w:tc>
        <w:tc>
          <w:tcPr>
            <w:tcW w:w="91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Venta de Bs. muebles</w:t>
            </w:r>
          </w:p>
        </w:tc>
        <w:tc>
          <w:tcPr>
            <w:tcW w:w="909"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 m2</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Hasta 20000 Kw</w:t>
            </w:r>
          </w:p>
        </w:tc>
        <w:tc>
          <w:tcPr>
            <w:tcW w:w="942"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313.067.08</w:t>
            </w:r>
          </w:p>
        </w:tc>
        <w:tc>
          <w:tcPr>
            <w:tcW w:w="965" w:type="dxa"/>
            <w:tcBorders>
              <w:top w:val="nil"/>
              <w:left w:val="nil"/>
              <w:bottom w:val="single" w:sz="8" w:space="0" w:color="auto"/>
              <w:right w:val="single" w:sz="8" w:space="0" w:color="auto"/>
            </w:tcBorders>
            <w:shd w:val="clear" w:color="auto" w:fill="FDE9D9" w:themeFill="accent6" w:themeFillTint="33"/>
            <w:vAlign w:val="bottom"/>
            <w:hideMark/>
          </w:tcPr>
          <w:p w:rsidR="00091AF1" w:rsidRPr="00091AF1" w:rsidRDefault="00091AF1" w:rsidP="00091AF1">
            <w:pPr>
              <w:jc w:val="center"/>
              <w:rPr>
                <w:rFonts w:ascii="Calibri" w:eastAsia="Times New Roman" w:hAnsi="Calibri"/>
                <w:b/>
                <w:color w:val="000000"/>
                <w:sz w:val="16"/>
                <w:szCs w:val="16"/>
              </w:rPr>
            </w:pPr>
            <w:r w:rsidRPr="00091AF1">
              <w:rPr>
                <w:rFonts w:ascii="Calibri" w:eastAsia="Times New Roman" w:hAnsi="Calibri"/>
                <w:b/>
                <w:color w:val="000000"/>
                <w:sz w:val="16"/>
                <w:szCs w:val="16"/>
              </w:rPr>
              <w:t>0</w:t>
            </w:r>
          </w:p>
        </w:tc>
        <w:tc>
          <w:tcPr>
            <w:tcW w:w="916" w:type="dxa"/>
            <w:tcBorders>
              <w:top w:val="nil"/>
              <w:left w:val="nil"/>
              <w:bottom w:val="nil"/>
              <w:right w:val="nil"/>
            </w:tcBorders>
            <w:shd w:val="clear" w:color="auto" w:fill="FDE9D9" w:themeFill="accent6" w:themeFillTint="33"/>
            <w:vAlign w:val="bottom"/>
            <w:hideMark/>
          </w:tcPr>
          <w:p w:rsidR="00091AF1" w:rsidRPr="00091AF1" w:rsidRDefault="00091AF1" w:rsidP="00091AF1">
            <w:pPr>
              <w:rPr>
                <w:rFonts w:ascii="Calibri" w:eastAsia="Times New Roman" w:hAnsi="Calibri"/>
                <w:b/>
                <w:color w:val="000000"/>
              </w:rPr>
            </w:pPr>
          </w:p>
        </w:tc>
        <w:tc>
          <w:tcPr>
            <w:tcW w:w="907" w:type="dxa"/>
            <w:tcBorders>
              <w:top w:val="nil"/>
              <w:left w:val="nil"/>
              <w:bottom w:val="nil"/>
              <w:right w:val="nil"/>
            </w:tcBorders>
            <w:shd w:val="clear" w:color="auto" w:fill="FDE9D9" w:themeFill="accent6" w:themeFillTint="33"/>
            <w:vAlign w:val="bottom"/>
            <w:hideMark/>
          </w:tcPr>
          <w:p w:rsidR="00091AF1" w:rsidRPr="00091AF1" w:rsidRDefault="00091AF1" w:rsidP="00091AF1">
            <w:pPr>
              <w:rPr>
                <w:rFonts w:ascii="Calibri" w:eastAsia="Times New Roman" w:hAnsi="Calibri"/>
                <w:b/>
                <w:color w:val="000000"/>
              </w:rPr>
            </w:pPr>
          </w:p>
        </w:tc>
        <w:tc>
          <w:tcPr>
            <w:tcW w:w="1009" w:type="dxa"/>
            <w:tcBorders>
              <w:top w:val="single" w:sz="4" w:space="0" w:color="auto"/>
            </w:tcBorders>
            <w:vAlign w:val="bottom"/>
          </w:tcPr>
          <w:p w:rsidR="00091AF1" w:rsidRPr="00D15D80" w:rsidRDefault="00091AF1" w:rsidP="00091AF1">
            <w:pPr>
              <w:jc w:val="center"/>
              <w:rPr>
                <w:rFonts w:ascii="Calibri" w:eastAsia="Times New Roman" w:hAnsi="Calibri"/>
                <w:b/>
                <w:color w:val="000000"/>
                <w:sz w:val="16"/>
                <w:szCs w:val="16"/>
              </w:rPr>
            </w:pPr>
          </w:p>
        </w:tc>
      </w:tr>
    </w:tbl>
    <w:p w:rsidR="00CE400C" w:rsidRDefault="00CE400C" w:rsidP="00CE400C"/>
    <w:p w:rsidR="00091AF1" w:rsidRPr="00CE400C" w:rsidRDefault="00091AF1" w:rsidP="00091AF1">
      <w:pPr>
        <w:pStyle w:val="NormalWeb"/>
        <w:spacing w:before="0" w:beforeAutospacing="0" w:after="0" w:afterAutospacing="0" w:line="360" w:lineRule="auto"/>
        <w:jc w:val="both"/>
        <w:rPr>
          <w:rFonts w:ascii="Arial" w:hAnsi="Arial" w:cs="Arial"/>
          <w:b/>
          <w:bCs/>
          <w:caps/>
          <w:color w:val="002F5D"/>
        </w:rPr>
      </w:pPr>
      <w:r w:rsidRPr="00CE400C">
        <w:rPr>
          <w:rFonts w:ascii="Arial" w:hAnsi="Arial" w:cs="Arial"/>
          <w:b/>
          <w:bCs/>
          <w:caps/>
          <w:color w:val="002F5D"/>
        </w:rPr>
        <w:t>PROVINCIALES – SANTA FE</w:t>
      </w:r>
    </w:p>
    <w:p w:rsidR="00091AF1" w:rsidRDefault="00091AF1" w:rsidP="00091AF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Impuesto sobre las embarcaciones deportivas o de recreación. Cálculo del impuesto año fiscal 2019. Base imponible - </w:t>
      </w:r>
      <w:r w:rsidRPr="00CE400C">
        <w:rPr>
          <w:rFonts w:ascii="Arial" w:hAnsi="Arial" w:cs="Arial"/>
          <w:b/>
          <w:bCs/>
          <w:caps/>
          <w:color w:val="002F5D"/>
          <w:sz w:val="21"/>
          <w:szCs w:val="21"/>
        </w:rPr>
        <w:t>RESOLUCIÓN GENERAL (Adm. Prov. Impuestos Santa Fe) 19/2019</w:t>
      </w:r>
    </w:p>
    <w:p w:rsidR="00091AF1" w:rsidRDefault="00091AF1" w:rsidP="00091AF1">
      <w:pPr>
        <w:pStyle w:val="NormalWeb"/>
        <w:spacing w:before="0" w:beforeAutospacing="0" w:after="0" w:afterAutospacing="0" w:line="360" w:lineRule="auto"/>
        <w:jc w:val="both"/>
        <w:rPr>
          <w:rFonts w:ascii="Arial" w:eastAsia="Times New Roman" w:hAnsi="Arial" w:cs="Arial"/>
          <w:b/>
          <w:bCs/>
          <w:color w:val="666666"/>
          <w:sz w:val="20"/>
          <w:szCs w:val="20"/>
        </w:rPr>
      </w:pPr>
    </w:p>
    <w:p w:rsidR="00091AF1" w:rsidRDefault="00091AF1" w:rsidP="00091AF1">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La Administración Provincial de Impuestos establece, para el año fiscal 2019, como base imponible para el cálculo del impuesto sobre las embarcaciones deportivas o de recreación el valor venal declarado por los contribuyentes y/o responsables al inscribir la embarcación </w:t>
      </w:r>
      <w:r w:rsidRPr="00CE400C">
        <w:rPr>
          <w:rFonts w:ascii="Arial" w:eastAsia="Times New Roman" w:hAnsi="Arial" w:cs="Arial"/>
          <w:b/>
          <w:bCs/>
          <w:color w:val="666666"/>
          <w:sz w:val="20"/>
          <w:szCs w:val="20"/>
        </w:rPr>
        <w:lastRenderedPageBreak/>
        <w:t>en el Registro Provincial de Embarcaciones Deportivas o de Recreación -RG (API) 24/2013- o el valor al momento de realizar la transferencia de la misma, el que resulte mayor</w:t>
      </w:r>
      <w:r>
        <w:rPr>
          <w:rFonts w:ascii="Arial" w:eastAsia="Times New Roman" w:hAnsi="Arial" w:cs="Arial"/>
          <w:b/>
          <w:bCs/>
          <w:color w:val="666666"/>
          <w:sz w:val="20"/>
          <w:szCs w:val="20"/>
        </w:rPr>
        <w:t>.</w:t>
      </w: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both"/>
        <w:rPr>
          <w:rFonts w:ascii="Arial" w:hAnsi="Arial" w:cs="Arial"/>
          <w:b/>
          <w:bCs/>
          <w:color w:val="7E4F6F"/>
          <w:sz w:val="20"/>
          <w:szCs w:val="20"/>
        </w:rPr>
      </w:pPr>
      <w:r w:rsidRPr="00CE400C">
        <w:rPr>
          <w:rFonts w:ascii="Arial" w:hAnsi="Arial" w:cs="Arial"/>
          <w:b/>
          <w:bCs/>
          <w:color w:val="7E4F6F"/>
          <w:sz w:val="20"/>
          <w:szCs w:val="20"/>
        </w:rPr>
        <w:t>PERSONAL DE CASAS PARTICULARES. APORTES PERSONALES PARA EL DEVENGADO AGOSTO Y SETIEMBRE DE 2019. INAPLICABILIDAD DEL DECRETO 561/2019</w:t>
      </w:r>
    </w:p>
    <w:p w:rsidR="00CE400C" w:rsidRDefault="00CE400C" w:rsidP="00CE400C">
      <w:pPr>
        <w:jc w:val="center"/>
        <w:rPr>
          <w:rFonts w:ascii="Arial" w:eastAsia="Times New Roman" w:hAnsi="Arial" w:cs="Arial"/>
          <w:color w:val="666666"/>
          <w:sz w:val="17"/>
          <w:szCs w:val="17"/>
        </w:rPr>
      </w:pP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La financiación del aporte personal de los trabajadores dependientes por parte del Estado Nacional, previsto en el </w:t>
      </w:r>
      <w:hyperlink r:id="rId11" w:history="1">
        <w:r w:rsidRPr="00CE400C">
          <w:rPr>
            <w:rFonts w:ascii="Arial" w:eastAsia="Times New Roman" w:hAnsi="Arial" w:cs="Arial"/>
            <w:b/>
            <w:bCs/>
            <w:color w:val="666666"/>
            <w:sz w:val="20"/>
            <w:szCs w:val="20"/>
          </w:rPr>
          <w:t>artículo 4 del decreto 561/2019</w:t>
        </w:r>
      </w:hyperlink>
      <w:r w:rsidRPr="00CE400C">
        <w:rPr>
          <w:rFonts w:ascii="Arial" w:eastAsia="Times New Roman" w:hAnsi="Arial" w:cs="Arial"/>
          <w:b/>
          <w:bCs/>
          <w:color w:val="666666"/>
          <w:sz w:val="20"/>
          <w:szCs w:val="20"/>
        </w:rPr>
        <w:t xml:space="preserve">, para el devengado agosto y setiembre de 2019, </w:t>
      </w:r>
      <w:r>
        <w:rPr>
          <w:rFonts w:ascii="Arial" w:eastAsia="Times New Roman" w:hAnsi="Arial" w:cs="Arial"/>
          <w:b/>
          <w:bCs/>
          <w:color w:val="666666"/>
          <w:sz w:val="20"/>
          <w:szCs w:val="20"/>
        </w:rPr>
        <w:t>n</w:t>
      </w:r>
      <w:r w:rsidRPr="00CE400C">
        <w:rPr>
          <w:rFonts w:ascii="Arial" w:eastAsia="Times New Roman" w:hAnsi="Arial" w:cs="Arial"/>
          <w:b/>
          <w:bCs/>
          <w:color w:val="666666"/>
          <w:sz w:val="20"/>
          <w:szCs w:val="20"/>
        </w:rPr>
        <w:t>o</w:t>
      </w:r>
      <w:r>
        <w:rPr>
          <w:rFonts w:ascii="Arial" w:eastAsia="Times New Roman" w:hAnsi="Arial" w:cs="Arial"/>
          <w:b/>
          <w:bCs/>
          <w:color w:val="666666"/>
          <w:sz w:val="20"/>
          <w:szCs w:val="20"/>
        </w:rPr>
        <w:t xml:space="preserve"> </w:t>
      </w:r>
      <w:r w:rsidRPr="00CE400C">
        <w:rPr>
          <w:rFonts w:ascii="Arial" w:eastAsia="Times New Roman" w:hAnsi="Arial" w:cs="Arial"/>
          <w:b/>
          <w:bCs/>
          <w:color w:val="666666"/>
          <w:sz w:val="20"/>
          <w:szCs w:val="20"/>
        </w:rPr>
        <w:t xml:space="preserve">alcanza al personal de casas particulares. </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 xml:space="preserve">Recordamos que el personal de casas particulares tiene un régimen especial de seguridad social, de carácter obligatorio, contemplado en el </w:t>
      </w:r>
      <w:hyperlink r:id="rId12" w:history="1">
        <w:r w:rsidRPr="00CE400C">
          <w:rPr>
            <w:rFonts w:ascii="Arial" w:eastAsia="Times New Roman" w:hAnsi="Arial" w:cs="Arial"/>
            <w:b/>
            <w:bCs/>
            <w:color w:val="666666"/>
            <w:sz w:val="20"/>
            <w:szCs w:val="20"/>
          </w:rPr>
          <w:t>artículo 21 de la ley 25239</w:t>
        </w:r>
      </w:hyperlink>
      <w:r w:rsidRPr="00CE400C">
        <w:rPr>
          <w:rFonts w:ascii="Arial" w:eastAsia="Times New Roman" w:hAnsi="Arial" w:cs="Arial"/>
          <w:b/>
          <w:bCs/>
          <w:color w:val="666666"/>
          <w:sz w:val="20"/>
          <w:szCs w:val="20"/>
        </w:rPr>
        <w:t>.</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sidRPr="00CE400C">
        <w:rPr>
          <w:rFonts w:ascii="Arial" w:eastAsia="Times New Roman" w:hAnsi="Arial" w:cs="Arial"/>
          <w:b/>
          <w:bCs/>
          <w:color w:val="666666"/>
          <w:sz w:val="20"/>
          <w:szCs w:val="20"/>
        </w:rPr>
        <w:t>En tal sentido, el beneficio previsto en el decreto es de aplicación para las personas comprendidas en el régimen general de la ley 24241 del Sistema Integrado de Jubilaciones y Pensiones (SIPA).</w:t>
      </w:r>
    </w:p>
    <w:p w:rsidR="00091AF1"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091AF1" w:rsidRDefault="00091AF1" w:rsidP="00091AF1">
      <w:pPr>
        <w:pStyle w:val="NormalWeb"/>
        <w:spacing w:before="0" w:beforeAutospacing="0" w:after="0" w:afterAutospacing="0"/>
        <w:jc w:val="both"/>
        <w:rPr>
          <w:rFonts w:ascii="Arial" w:hAnsi="Arial" w:cs="Arial"/>
          <w:b/>
          <w:bCs/>
          <w:caps/>
          <w:color w:val="376889"/>
          <w:sz w:val="21"/>
          <w:szCs w:val="21"/>
        </w:rPr>
      </w:pPr>
      <w:r w:rsidRPr="004C725D">
        <w:rPr>
          <w:rFonts w:ascii="Arial" w:hAnsi="Arial" w:cs="Arial"/>
          <w:b/>
          <w:bCs/>
          <w:caps/>
          <w:color w:val="002F5D"/>
          <w:sz w:val="21"/>
          <w:szCs w:val="21"/>
        </w:rPr>
        <w:t>SISTEMA DE ÍNDICES DE PRECIOS MAYORISTAS (SIPM). ÍNDICE DEL COSTO DE LA CONSTRUCCIÓN (ICC). ÍNDICE DE PRECIOS AL CONSUMIDOR (IPC). JULIO DE 2019</w:t>
      </w:r>
    </w:p>
    <w:p w:rsidR="00091AF1" w:rsidRDefault="00091AF1" w:rsidP="00091AF1">
      <w:pPr>
        <w:pStyle w:val="NormalWeb"/>
        <w:spacing w:before="0" w:beforeAutospacing="0" w:after="0" w:afterAutospacing="0"/>
        <w:jc w:val="both"/>
        <w:rPr>
          <w:rFonts w:ascii="Arial" w:hAnsi="Arial" w:cs="Arial"/>
          <w:b/>
          <w:bCs/>
          <w:caps/>
          <w:color w:val="376889"/>
          <w:sz w:val="21"/>
          <w:szCs w:val="21"/>
        </w:rPr>
      </w:pPr>
    </w:p>
    <w:p w:rsidR="00091AF1" w:rsidRPr="00091AF1" w:rsidRDefault="00091AF1" w:rsidP="00091AF1">
      <w:pPr>
        <w:spacing w:after="240" w:line="360" w:lineRule="auto"/>
        <w:jc w:val="both"/>
        <w:rPr>
          <w:rFonts w:ascii="Arial" w:eastAsia="Times New Roman" w:hAnsi="Arial" w:cs="Arial"/>
          <w:b/>
          <w:bCs/>
          <w:color w:val="666666"/>
          <w:sz w:val="20"/>
          <w:szCs w:val="20"/>
        </w:rPr>
      </w:pPr>
      <w:r w:rsidRPr="00091AF1">
        <w:rPr>
          <w:rFonts w:ascii="Arial" w:eastAsia="Times New Roman" w:hAnsi="Arial" w:cs="Arial"/>
          <w:b/>
          <w:bCs/>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julio de 2019: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238"/>
        <w:gridCol w:w="2107"/>
      </w:tblGrid>
      <w:tr w:rsidR="00091AF1" w:rsidRPr="00EE7B28" w:rsidTr="00091AF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hAnsi="Arial" w:cs="Arial"/>
                <w:color w:val="666666"/>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hAnsi="Arial" w:cs="Arial"/>
                <w:color w:val="666666"/>
                <w:sz w:val="20"/>
                <w:szCs w:val="20"/>
              </w:rPr>
              <w:t>Julio 2019 (*)</w:t>
            </w:r>
          </w:p>
        </w:tc>
      </w:tr>
      <w:tr w:rsidR="00091AF1" w:rsidRPr="00EE7B28" w:rsidTr="00091AF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1AF1" w:rsidRPr="00EE7B28" w:rsidRDefault="00091AF1" w:rsidP="00091AF1">
            <w:pPr>
              <w:rPr>
                <w:rFonts w:ascii="Arial" w:eastAsia="Times New Roman" w:hAnsi="Arial" w:cs="Arial"/>
                <w:b/>
                <w:bCs/>
                <w:color w:val="666666"/>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hAnsi="Arial" w:cs="Arial"/>
                <w:color w:val="666666"/>
                <w:sz w:val="20"/>
                <w:szCs w:val="20"/>
              </w:rPr>
              <w:t>Variación % respecto al mes anterior</w:t>
            </w:r>
          </w:p>
        </w:tc>
      </w:tr>
      <w:tr w:rsidR="00091AF1" w:rsidRPr="00EE7B28" w:rsidTr="00091AF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0,1</w:t>
            </w:r>
          </w:p>
        </w:tc>
      </w:tr>
      <w:tr w:rsidR="00091AF1" w:rsidRPr="00EE7B28" w:rsidTr="00091AF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-0,1</w:t>
            </w:r>
          </w:p>
        </w:tc>
      </w:tr>
      <w:tr w:rsidR="00091AF1" w:rsidRPr="00EE7B28" w:rsidTr="00091AF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-0,2</w:t>
            </w:r>
          </w:p>
        </w:tc>
      </w:tr>
      <w:tr w:rsidR="00091AF1" w:rsidRPr="00EE7B28" w:rsidTr="00091AF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0,7</w:t>
            </w:r>
          </w:p>
        </w:tc>
      </w:tr>
      <w:tr w:rsidR="00091AF1" w:rsidRPr="00EE7B28" w:rsidTr="00091AF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1AF1" w:rsidRPr="00EE7B28" w:rsidRDefault="00091AF1" w:rsidP="00091AF1">
            <w:pPr>
              <w:jc w:val="center"/>
              <w:rPr>
                <w:rFonts w:ascii="Arial" w:eastAsia="Times New Roman" w:hAnsi="Arial" w:cs="Arial"/>
                <w:b/>
                <w:bCs/>
                <w:color w:val="666666"/>
                <w:sz w:val="20"/>
                <w:szCs w:val="20"/>
              </w:rPr>
            </w:pPr>
            <w:r w:rsidRPr="00EE7B28">
              <w:rPr>
                <w:rFonts w:ascii="Arial" w:eastAsia="Times New Roman" w:hAnsi="Arial" w:cs="Arial"/>
                <w:b/>
                <w:bCs/>
                <w:color w:val="666666"/>
                <w:sz w:val="20"/>
                <w:szCs w:val="20"/>
              </w:rPr>
              <w:t>2,2</w:t>
            </w:r>
          </w:p>
        </w:tc>
      </w:tr>
    </w:tbl>
    <w:p w:rsidR="00091AF1" w:rsidRPr="00CE400C" w:rsidRDefault="00091AF1" w:rsidP="00CE400C">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color w:val="666666"/>
          <w:sz w:val="20"/>
          <w:szCs w:val="20"/>
        </w:rPr>
        <w:br/>
      </w:r>
      <w:r w:rsidRPr="00EE7B28">
        <w:rPr>
          <w:rFonts w:ascii="Arial" w:eastAsia="Times New Roman" w:hAnsi="Arial" w:cs="Arial"/>
          <w:b/>
          <w:bCs/>
          <w:color w:val="666666"/>
          <w:sz w:val="20"/>
          <w:szCs w:val="20"/>
        </w:rPr>
        <w:br/>
        <w:t>(*) Dato provisorio</w:t>
      </w:r>
    </w:p>
    <w:sectPr w:rsidR="00091AF1" w:rsidRPr="00CE400C" w:rsidSect="002A1585">
      <w:headerReference w:type="default" r:id="rId13"/>
      <w:footerReference w:type="default" r:id="rId14"/>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F1" w:rsidRDefault="00091AF1" w:rsidP="00A22916">
      <w:r>
        <w:separator/>
      </w:r>
    </w:p>
  </w:endnote>
  <w:endnote w:type="continuationSeparator" w:id="0">
    <w:p w:rsidR="00091AF1" w:rsidRDefault="00091AF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F1" w:rsidRDefault="00091AF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C725D" w:rsidRPr="004C725D">
        <w:rPr>
          <w:rFonts w:asciiTheme="majorHAnsi" w:hAnsiTheme="majorHAnsi"/>
          <w:noProof/>
        </w:rPr>
        <w:t>8</w:t>
      </w:r>
    </w:fldSimple>
  </w:p>
  <w:p w:rsidR="00091AF1" w:rsidRDefault="00091AF1" w:rsidP="0063669F">
    <w:pPr>
      <w:pStyle w:val="Piedepgina"/>
    </w:pPr>
  </w:p>
  <w:p w:rsidR="00091AF1" w:rsidRDefault="00091AF1" w:rsidP="0063669F">
    <w:pPr>
      <w:pStyle w:val="Piedepgina"/>
    </w:pPr>
  </w:p>
  <w:p w:rsidR="00091AF1" w:rsidRDefault="00091AF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F1" w:rsidRDefault="00091AF1" w:rsidP="00A22916">
      <w:r>
        <w:separator/>
      </w:r>
    </w:p>
  </w:footnote>
  <w:footnote w:type="continuationSeparator" w:id="0">
    <w:p w:rsidR="00091AF1" w:rsidRDefault="00091AF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F1" w:rsidRDefault="00091AF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34-19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21"/>
  </w:num>
  <w:num w:numId="8">
    <w:abstractNumId w:val="20"/>
  </w:num>
  <w:num w:numId="9">
    <w:abstractNumId w:val="13"/>
  </w:num>
  <w:num w:numId="10">
    <w:abstractNumId w:val="18"/>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num>
  <w:num w:numId="20">
    <w:abstractNumId w:val="2"/>
  </w:num>
  <w:num w:numId="21">
    <w:abstractNumId w:val="6"/>
  </w:num>
  <w:num w:numId="22">
    <w:abstractNumId w:val="19"/>
  </w:num>
  <w:num w:numId="23">
    <w:abstractNumId w:val="3"/>
  </w:num>
  <w:num w:numId="2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31AD"/>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298141-otros-precios-salario-otros-Los-cambios-en-el-impuesto-a-las-Ganancias-y-su-efecto-en-los-bolsill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ck.erreparmail.com/access.epl?shopperID=931908&amp;actionCode=51527&amp;enterCode=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1908&amp;actionCode=51527&amp;enterCode=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rofesional.com/impuestos/298352-impuesto-ley-retenciones-La-AFIP-reabrira-el-Miniplan-para-financiar-las-obligaciones-anual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9F5BA-4864-47FF-848D-4B83C73E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2990</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5</cp:revision>
  <dcterms:created xsi:type="dcterms:W3CDTF">2019-08-23T20:50:00Z</dcterms:created>
  <dcterms:modified xsi:type="dcterms:W3CDTF">2019-08-23T21:23:00Z</dcterms:modified>
</cp:coreProperties>
</file>